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44237" w14:textId="77777777" w:rsidR="002657DC" w:rsidRDefault="00D537AA">
      <w:pPr>
        <w:pStyle w:val="Heading"/>
        <w:ind w:left="90" w:firstLine="0"/>
      </w:pPr>
      <w:r>
        <w:rPr>
          <w:noProof/>
        </w:rPr>
        <w:drawing>
          <wp:inline distT="0" distB="0" distL="0" distR="0" wp14:anchorId="58190848" wp14:editId="535F9955">
            <wp:extent cx="6394450" cy="119507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6394450" cy="1195070"/>
                    </a:xfrm>
                    <a:prstGeom prst="rect">
                      <a:avLst/>
                    </a:prstGeom>
                    <a:ln w="12700" cap="flat">
                      <a:noFill/>
                      <a:miter lim="400000"/>
                    </a:ln>
                    <a:effectLst/>
                  </pic:spPr>
                </pic:pic>
              </a:graphicData>
            </a:graphic>
          </wp:inline>
        </w:drawing>
      </w:r>
    </w:p>
    <w:p w14:paraId="43AD1E08" w14:textId="77777777" w:rsidR="002657DC" w:rsidRDefault="002657DC">
      <w:pPr>
        <w:pStyle w:val="Heading2"/>
        <w:jc w:val="center"/>
      </w:pPr>
    </w:p>
    <w:p w14:paraId="636601E1" w14:textId="77777777" w:rsidR="002657DC" w:rsidRDefault="00D537AA">
      <w:pPr>
        <w:pStyle w:val="Heading2"/>
        <w:jc w:val="center"/>
        <w:rPr>
          <w:b/>
          <w:bCs/>
        </w:rPr>
      </w:pPr>
      <w:r>
        <w:rPr>
          <w:b/>
          <w:bCs/>
        </w:rPr>
        <w:t>Policy for Accessions to the Special Collections and Archives</w:t>
      </w:r>
    </w:p>
    <w:p w14:paraId="5B6300EF" w14:textId="77777777" w:rsidR="002657DC" w:rsidRDefault="002657DC">
      <w:pPr>
        <w:pStyle w:val="Heading3"/>
        <w:ind w:left="90"/>
        <w:rPr>
          <w:rFonts w:ascii="Calibri" w:eastAsia="Calibri" w:hAnsi="Calibri" w:cs="Calibri"/>
          <w:color w:val="000000"/>
          <w:sz w:val="30"/>
          <w:szCs w:val="30"/>
          <w:u w:color="000000"/>
        </w:rPr>
      </w:pPr>
    </w:p>
    <w:p w14:paraId="0027B5C2" w14:textId="77777777" w:rsidR="002657DC" w:rsidRDefault="00D537AA">
      <w:pPr>
        <w:pStyle w:val="Heading3"/>
        <w:ind w:left="90"/>
        <w:rPr>
          <w:b/>
          <w:bCs/>
        </w:rPr>
      </w:pPr>
      <w:r>
        <w:rPr>
          <w:rFonts w:ascii="Calibri" w:eastAsia="Calibri" w:hAnsi="Calibri" w:cs="Calibri"/>
          <w:b/>
          <w:bCs/>
          <w:color w:val="000000"/>
          <w:sz w:val="30"/>
          <w:szCs w:val="30"/>
          <w:u w:color="000000"/>
        </w:rPr>
        <w:t>Backgroun</w:t>
      </w:r>
      <w:r>
        <w:rPr>
          <w:b/>
          <w:bCs/>
        </w:rPr>
        <w:t>d</w:t>
      </w:r>
    </w:p>
    <w:p w14:paraId="0E747A4B" w14:textId="77777777" w:rsidR="002657DC" w:rsidRDefault="00D537AA">
      <w:pPr>
        <w:pStyle w:val="BodyA"/>
        <w:ind w:left="90"/>
        <w:jc w:val="both"/>
      </w:pPr>
      <w:r>
        <w:t>The Greater Cape May Historical Society</w:t>
      </w:r>
      <w:r>
        <w:rPr>
          <w:rtl/>
          <w:lang w:val="ar-SA"/>
        </w:rPr>
        <w:t>’</w:t>
      </w:r>
      <w:r>
        <w:t xml:space="preserve">s (GCMHS) mission is to collect, </w:t>
      </w:r>
      <w:r>
        <w:rPr>
          <w:lang w:val="pt-PT"/>
        </w:rPr>
        <w:t>preserve,</w:t>
      </w:r>
      <w:r>
        <w:t xml:space="preserve"> document, interpret</w:t>
      </w:r>
      <w:r>
        <w:t>,</w:t>
      </w:r>
      <w:r>
        <w:t xml:space="preserve"> and share the history of the greater Cape May area. Since our founding in 1974, the Society's mission has been maintained by an ethical, open, and friendly group of volunteers. </w:t>
      </w:r>
    </w:p>
    <w:p w14:paraId="2584462C" w14:textId="77777777" w:rsidR="002657DC" w:rsidRDefault="00D537AA">
      <w:pPr>
        <w:pStyle w:val="BodyA"/>
        <w:ind w:left="90"/>
        <w:jc w:val="both"/>
      </w:pPr>
      <w:r>
        <w:t xml:space="preserve">We are a community-based organization that recognizes the </w:t>
      </w:r>
      <w:r>
        <w:rPr>
          <w:lang w:val="es-ES_tradnl"/>
        </w:rPr>
        <w:t>fundamental</w:t>
      </w:r>
      <w:r>
        <w:t xml:space="preserve"> principles of diversity, inclusion, and </w:t>
      </w:r>
      <w:r>
        <w:t>e</w:t>
      </w:r>
      <w:r>
        <w:t xml:space="preserve">qual access. Therefore, our stewardship of the Memucan Hughes Colonial House, and our virtual collections, are free and open to the public. </w:t>
      </w:r>
    </w:p>
    <w:p w14:paraId="5E84CD4C" w14:textId="77777777" w:rsidR="002657DC" w:rsidRDefault="00D537AA">
      <w:pPr>
        <w:pStyle w:val="BodyA"/>
        <w:ind w:left="90"/>
        <w:jc w:val="both"/>
      </w:pPr>
      <w:r>
        <w:t>We welcome people from all backgrounds to attend, question, and contribute to the Society for the future historians who will succeed us and adopt these principles.</w:t>
      </w:r>
    </w:p>
    <w:p w14:paraId="27C4BB52" w14:textId="77777777" w:rsidR="002657DC" w:rsidRDefault="002657DC">
      <w:pPr>
        <w:pStyle w:val="Heading2"/>
        <w:jc w:val="both"/>
        <w:rPr>
          <w:b/>
          <w:bCs/>
        </w:rPr>
      </w:pPr>
    </w:p>
    <w:p w14:paraId="4153030B" w14:textId="77777777" w:rsidR="002657DC" w:rsidRDefault="00D537AA">
      <w:pPr>
        <w:pStyle w:val="Heading2"/>
        <w:jc w:val="both"/>
        <w:rPr>
          <w:b/>
          <w:bCs/>
        </w:rPr>
      </w:pPr>
      <w:r>
        <w:rPr>
          <w:b/>
          <w:bCs/>
        </w:rPr>
        <w:t>GCMHS Special Collections and Archives</w:t>
      </w:r>
    </w:p>
    <w:p w14:paraId="28A89710" w14:textId="77777777" w:rsidR="002657DC" w:rsidRDefault="00D537AA">
      <w:pPr>
        <w:pStyle w:val="BodyA"/>
        <w:ind w:left="90"/>
        <w:jc w:val="both"/>
      </w:pPr>
      <w:r>
        <w:t xml:space="preserve">The </w:t>
      </w:r>
      <w:bookmarkStart w:id="0" w:name="_Hlk167025359"/>
      <w:r>
        <w:t xml:space="preserve">GCMHS Special Collections and Archives </w:t>
      </w:r>
      <w:bookmarkEnd w:id="0"/>
      <w:r>
        <w:t xml:space="preserve">welcomes gifts of books and archival materials that fall within the scope of its collecting activities, that will enhance the strengths of its collections, and that support the history of Cape May. </w:t>
      </w:r>
    </w:p>
    <w:p w14:paraId="66B80106" w14:textId="77777777" w:rsidR="002657DC" w:rsidRDefault="00D537AA">
      <w:pPr>
        <w:pStyle w:val="BodyA"/>
        <w:ind w:left="90"/>
        <w:jc w:val="both"/>
      </w:pPr>
      <w:r>
        <w:t>Gifts of materials are accepted with the understanding that, once received, they are owned by the GCMHS. Special Collections and Archives reserves the right to determine their retention, location, cataloging</w:t>
      </w:r>
      <w:r>
        <w:t>,</w:t>
      </w:r>
      <w:r>
        <w:t xml:space="preserve"> treatment, and other considerations related to their use or disposition.</w:t>
      </w:r>
    </w:p>
    <w:p w14:paraId="3C0C3692" w14:textId="77777777" w:rsidR="002657DC" w:rsidRDefault="00D537AA">
      <w:pPr>
        <w:pStyle w:val="BodyA"/>
        <w:ind w:left="90"/>
        <w:jc w:val="both"/>
      </w:pPr>
      <w:r>
        <w:t>Materials with restrictions on access or use will generally not be accepted; in some cases, materials of great research value with clearly stated restrictions of limited duration will be considered. Photocopies or scans of manuscript or other original materials are generally not accepted. Individual leaves offered from multi-leaved manuscripts will be reviewed carefully and decisions made on a case-by-case basis.</w:t>
      </w:r>
    </w:p>
    <w:p w14:paraId="3B964E64" w14:textId="77777777" w:rsidR="002657DC" w:rsidRDefault="00D537AA">
      <w:pPr>
        <w:pStyle w:val="BodyA"/>
        <w:ind w:left="90"/>
        <w:jc w:val="both"/>
      </w:pPr>
      <w:r>
        <w:t>Special Collections and Archives reserves the right to duplicate, digitize, and make copies for the purposes of preservation, regardless of the copyright status of the item(s).</w:t>
      </w:r>
    </w:p>
    <w:p w14:paraId="104A1385" w14:textId="77777777" w:rsidR="002657DC" w:rsidRDefault="00D537AA">
      <w:pPr>
        <w:pStyle w:val="BodyA"/>
        <w:ind w:left="90"/>
        <w:jc w:val="both"/>
      </w:pPr>
      <w:r>
        <w:t>Special Collections and Archives are unable to collect items where resources do not allow us to meet the collection's space requirements or preservation needs.</w:t>
      </w:r>
    </w:p>
    <w:p w14:paraId="04DB89D8" w14:textId="77777777" w:rsidR="002657DC" w:rsidRDefault="002657DC">
      <w:pPr>
        <w:pStyle w:val="BodyA"/>
        <w:ind w:left="90"/>
      </w:pPr>
    </w:p>
    <w:p w14:paraId="7543E39B" w14:textId="77777777" w:rsidR="002657DC" w:rsidRDefault="00D537AA">
      <w:pPr>
        <w:pStyle w:val="BodyA"/>
        <w:spacing w:line="278" w:lineRule="auto"/>
      </w:pPr>
      <w:r>
        <w:br w:type="page"/>
      </w:r>
    </w:p>
    <w:p w14:paraId="487F9DBB" w14:textId="77777777" w:rsidR="002657DC" w:rsidRDefault="00D537AA">
      <w:pPr>
        <w:pStyle w:val="BodyA"/>
        <w:spacing w:after="0"/>
        <w:ind w:left="90"/>
        <w:jc w:val="center"/>
        <w:rPr>
          <w:sz w:val="56"/>
          <w:szCs w:val="56"/>
        </w:rPr>
      </w:pPr>
      <w:r>
        <w:rPr>
          <w:noProof/>
        </w:rPr>
        <w:lastRenderedPageBreak/>
        <w:drawing>
          <wp:inline distT="0" distB="0" distL="0" distR="0" wp14:anchorId="158A304B" wp14:editId="716B5BA0">
            <wp:extent cx="6394450" cy="1195070"/>
            <wp:effectExtent l="0" t="0" r="0" b="0"/>
            <wp:docPr id="1073741826" name="officeArt object"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image1.png" descr="A black and red background&#10;&#10;Description automatically generated"/>
                    <pic:cNvPicPr>
                      <a:picLocks noChangeAspect="1"/>
                    </pic:cNvPicPr>
                  </pic:nvPicPr>
                  <pic:blipFill>
                    <a:blip r:embed="rId6"/>
                    <a:stretch>
                      <a:fillRect/>
                    </a:stretch>
                  </pic:blipFill>
                  <pic:spPr>
                    <a:xfrm>
                      <a:off x="0" y="0"/>
                      <a:ext cx="6394450" cy="1195070"/>
                    </a:xfrm>
                    <a:prstGeom prst="rect">
                      <a:avLst/>
                    </a:prstGeom>
                    <a:ln w="12700" cap="flat">
                      <a:noFill/>
                      <a:miter lim="400000"/>
                    </a:ln>
                    <a:effectLst/>
                  </pic:spPr>
                </pic:pic>
              </a:graphicData>
            </a:graphic>
          </wp:inline>
        </w:drawing>
      </w:r>
    </w:p>
    <w:p w14:paraId="62D2E27A" w14:textId="77777777" w:rsidR="002657DC" w:rsidRDefault="00D537AA">
      <w:pPr>
        <w:pStyle w:val="BodyA"/>
        <w:spacing w:after="0" w:line="240" w:lineRule="auto"/>
        <w:ind w:left="90"/>
        <w:jc w:val="center"/>
      </w:pPr>
      <w:r>
        <w:rPr>
          <w:sz w:val="34"/>
          <w:szCs w:val="34"/>
        </w:rPr>
        <w:t>GCMHS Special Collections and Archives</w:t>
      </w:r>
    </w:p>
    <w:p w14:paraId="4F475077" w14:textId="77777777" w:rsidR="002657DC" w:rsidRDefault="00D537AA">
      <w:pPr>
        <w:pStyle w:val="Heading2"/>
        <w:spacing w:line="240" w:lineRule="auto"/>
        <w:ind w:left="90" w:firstLine="0"/>
        <w:jc w:val="center"/>
      </w:pPr>
      <w:r>
        <w:t>Donor information</w:t>
      </w:r>
    </w:p>
    <w:p w14:paraId="7DE6BF84" w14:textId="77777777" w:rsidR="002657DC" w:rsidRDefault="00D537AA">
      <w:pPr>
        <w:pStyle w:val="BodyA"/>
        <w:spacing w:after="0" w:line="240" w:lineRule="auto"/>
        <w:ind w:left="86" w:right="684"/>
        <w:jc w:val="both"/>
      </w:pPr>
      <w:r>
        <w:rPr>
          <w:sz w:val="24"/>
          <w:szCs w:val="24"/>
        </w:rPr>
        <w:t>Name(s) of donor(s):</w:t>
      </w:r>
    </w:p>
    <w:p w14:paraId="184E2670" w14:textId="77777777" w:rsidR="002657DC" w:rsidRDefault="00D537AA">
      <w:pPr>
        <w:pStyle w:val="BodyA"/>
        <w:spacing w:after="0" w:line="240" w:lineRule="auto"/>
        <w:ind w:left="86"/>
      </w:pPr>
      <w:r>
        <w:rPr>
          <w:noProof/>
        </w:rPr>
        <mc:AlternateContent>
          <mc:Choice Requires="wps">
            <w:drawing>
              <wp:inline distT="0" distB="0" distL="0" distR="0" wp14:anchorId="3EA6F3AC" wp14:editId="25DEF2B7">
                <wp:extent cx="6418292" cy="0"/>
                <wp:effectExtent l="0" t="0" r="0" b="0"/>
                <wp:docPr id="1073741827" name="officeArt object"/>
                <wp:cNvGraphicFramePr/>
                <a:graphic xmlns:a="http://schemas.openxmlformats.org/drawingml/2006/main">
                  <a:graphicData uri="http://schemas.microsoft.com/office/word/2010/wordprocessingShape">
                    <wps:wsp>
                      <wps:cNvCnPr/>
                      <wps:spPr>
                        <a:xfrm>
                          <a:off x="0" y="0"/>
                          <a:ext cx="6418292" cy="0"/>
                        </a:xfrm>
                        <a:prstGeom prst="line">
                          <a:avLst/>
                        </a:prstGeom>
                        <a:noFill/>
                        <a:ln w="13716" cap="flat">
                          <a:solidFill>
                            <a:srgbClr val="000000"/>
                          </a:solidFill>
                          <a:prstDash val="solid"/>
                          <a:miter lim="100000"/>
                        </a:ln>
                        <a:effectLst/>
                      </wps:spPr>
                      <wps:bodyPr/>
                    </wps:wsp>
                  </a:graphicData>
                </a:graphic>
              </wp:inline>
            </w:drawing>
          </mc:Choice>
          <mc:Fallback>
            <w:pict>
              <v:line id="_x0000_s1026" style="visibility:visible;width:505.4pt;height:0.0pt;">
                <v:fill on="f"/>
                <v:stroke filltype="solid" color="#000000" opacity="100.0%" weight="1.1pt" dashstyle="solid" endcap="flat" miterlimit="100.0%" joinstyle="miter" linestyle="single" startarrow="none" startarrowwidth="medium" startarrowlength="medium" endarrow="none" endarrowwidth="medium" endarrowlength="medium"/>
              </v:line>
            </w:pict>
          </mc:Fallback>
        </mc:AlternateContent>
      </w:r>
    </w:p>
    <w:p w14:paraId="0925575B" w14:textId="77777777" w:rsidR="002657DC" w:rsidRDefault="00D537AA">
      <w:pPr>
        <w:pStyle w:val="BodyA"/>
        <w:spacing w:after="0" w:line="240" w:lineRule="auto"/>
        <w:ind w:left="86" w:right="273"/>
        <w:jc w:val="both"/>
      </w:pPr>
      <w:r>
        <w:t>Address:</w:t>
      </w:r>
    </w:p>
    <w:p w14:paraId="7894E82A" w14:textId="77777777" w:rsidR="002657DC" w:rsidRDefault="00D537AA">
      <w:pPr>
        <w:pStyle w:val="BodyA"/>
        <w:spacing w:after="0" w:line="240" w:lineRule="auto"/>
        <w:ind w:left="86"/>
      </w:pPr>
      <w:r>
        <w:rPr>
          <w:noProof/>
        </w:rPr>
        <mc:AlternateContent>
          <mc:Choice Requires="wps">
            <w:drawing>
              <wp:inline distT="0" distB="0" distL="0" distR="0" wp14:anchorId="7512192A" wp14:editId="525C536C">
                <wp:extent cx="6464302" cy="0"/>
                <wp:effectExtent l="0" t="0" r="0" b="0"/>
                <wp:docPr id="1073741828" name="officeArt object"/>
                <wp:cNvGraphicFramePr/>
                <a:graphic xmlns:a="http://schemas.openxmlformats.org/drawingml/2006/main">
                  <a:graphicData uri="http://schemas.microsoft.com/office/word/2010/wordprocessingShape">
                    <wps:wsp>
                      <wps:cNvCnPr/>
                      <wps:spPr>
                        <a:xfrm>
                          <a:off x="0" y="0"/>
                          <a:ext cx="6464302" cy="0"/>
                        </a:xfrm>
                        <a:prstGeom prst="line">
                          <a:avLst/>
                        </a:prstGeom>
                        <a:noFill/>
                        <a:ln w="13716" cap="flat">
                          <a:solidFill>
                            <a:srgbClr val="000000"/>
                          </a:solidFill>
                          <a:prstDash val="solid"/>
                          <a:miter lim="100000"/>
                        </a:ln>
                        <a:effectLst/>
                      </wps:spPr>
                      <wps:bodyPr/>
                    </wps:wsp>
                  </a:graphicData>
                </a:graphic>
              </wp:inline>
            </w:drawing>
          </mc:Choice>
          <mc:Fallback>
            <w:pict>
              <v:line id="_x0000_s1027" style="visibility:visible;width:509.0pt;height:0.0pt;">
                <v:fill on="f"/>
                <v:stroke filltype="solid" color="#000000" opacity="100.0%" weight="1.1pt" dashstyle="solid" endcap="flat" miterlimit="100.0%" joinstyle="miter" linestyle="single" startarrow="none" startarrowwidth="medium" startarrowlength="medium" endarrow="none" endarrowwidth="medium" endarrowlength="medium"/>
              </v:line>
            </w:pict>
          </mc:Fallback>
        </mc:AlternateContent>
      </w:r>
    </w:p>
    <w:p w14:paraId="039B969C" w14:textId="77777777" w:rsidR="002657DC" w:rsidRDefault="00D537AA">
      <w:pPr>
        <w:pStyle w:val="BodyA"/>
        <w:tabs>
          <w:tab w:val="center" w:pos="5702"/>
        </w:tabs>
        <w:spacing w:after="0" w:line="240" w:lineRule="auto"/>
        <w:ind w:left="86"/>
        <w:rPr>
          <w:lang w:val="it-IT"/>
        </w:rPr>
      </w:pPr>
      <w:r>
        <w:rPr>
          <w:sz w:val="24"/>
          <w:szCs w:val="24"/>
          <w:lang w:val="it-IT"/>
        </w:rPr>
        <w:t>Phone:</w:t>
      </w:r>
      <w:r>
        <w:rPr>
          <w:sz w:val="24"/>
          <w:szCs w:val="24"/>
          <w:lang w:val="it-IT"/>
        </w:rPr>
        <w:tab/>
        <w:t>Email:</w:t>
      </w:r>
    </w:p>
    <w:p w14:paraId="02EDA230" w14:textId="77777777" w:rsidR="002657DC" w:rsidRDefault="00D537AA">
      <w:pPr>
        <w:pStyle w:val="BodyA"/>
        <w:spacing w:after="0" w:line="240" w:lineRule="auto"/>
        <w:ind w:left="86"/>
      </w:pPr>
      <w:r>
        <w:t>___________________________________________             __________________________________________</w:t>
      </w:r>
    </w:p>
    <w:p w14:paraId="7173B1CC" w14:textId="77777777" w:rsidR="002657DC" w:rsidRDefault="002657DC">
      <w:pPr>
        <w:pStyle w:val="Heading2"/>
        <w:spacing w:line="240" w:lineRule="auto"/>
        <w:rPr>
          <w:b/>
          <w:bCs/>
        </w:rPr>
      </w:pPr>
    </w:p>
    <w:p w14:paraId="7E78DF4F" w14:textId="77777777" w:rsidR="002657DC" w:rsidRDefault="00D537AA">
      <w:pPr>
        <w:pStyle w:val="Heading2"/>
        <w:spacing w:line="240" w:lineRule="auto"/>
        <w:rPr>
          <w:b/>
          <w:bCs/>
        </w:rPr>
      </w:pPr>
      <w:r>
        <w:rPr>
          <w:b/>
          <w:bCs/>
        </w:rPr>
        <w:t>Copyright and permissions (select one)</w:t>
      </w:r>
      <w:r>
        <w:rPr>
          <w:b/>
          <w:bCs/>
        </w:rPr>
        <w:tab/>
      </w:r>
    </w:p>
    <w:p w14:paraId="7E1BE8BC" w14:textId="77777777" w:rsidR="002657DC" w:rsidRDefault="00D537AA">
      <w:pPr>
        <w:pStyle w:val="BodyA"/>
        <w:spacing w:after="0" w:line="240" w:lineRule="auto"/>
        <w:ind w:left="90" w:right="684"/>
        <w:jc w:val="both"/>
      </w:pPr>
      <w:r>
        <w:rPr>
          <w:sz w:val="24"/>
          <w:szCs w:val="24"/>
        </w:rPr>
        <w:t>___</w:t>
      </w:r>
      <w:r>
        <w:t>All copyrights held by me are transferred to GCMHS.</w:t>
      </w:r>
    </w:p>
    <w:p w14:paraId="0FBC6B10" w14:textId="77777777" w:rsidR="002657DC" w:rsidRDefault="00D537AA">
      <w:pPr>
        <w:pStyle w:val="BodyA"/>
        <w:spacing w:after="0" w:line="240" w:lineRule="auto"/>
        <w:ind w:left="90"/>
      </w:pPr>
      <w:r>
        <w:t>___ All copyrights held by me are retained, and grant GCMHS a non-exclusive, worldwide, royalty-free, irrevocable license to these materials. I also grant GCMHS non-exclusive rights to authorize the reproduction and publication of these materials for educational uses.</w:t>
      </w:r>
    </w:p>
    <w:p w14:paraId="4A63F48B" w14:textId="77777777" w:rsidR="002657DC" w:rsidRDefault="00D537AA">
      <w:pPr>
        <w:pStyle w:val="Heading2"/>
        <w:spacing w:line="240" w:lineRule="auto"/>
        <w:rPr>
          <w:b/>
          <w:bCs/>
          <w:sz w:val="22"/>
          <w:szCs w:val="22"/>
        </w:rPr>
      </w:pPr>
      <w:r>
        <w:rPr>
          <w:sz w:val="22"/>
          <w:szCs w:val="22"/>
        </w:rPr>
        <w:t>___ All copyrights held by me are retained, and I grant GCMHS non-exclusive, worldwide, royalty-free, irrevocable license to these materials.</w:t>
      </w:r>
    </w:p>
    <w:p w14:paraId="77A94705" w14:textId="77777777" w:rsidR="002657DC" w:rsidRDefault="002657DC">
      <w:pPr>
        <w:pStyle w:val="Heading2"/>
        <w:spacing w:line="240" w:lineRule="auto"/>
        <w:rPr>
          <w:sz w:val="22"/>
          <w:szCs w:val="22"/>
        </w:rPr>
      </w:pPr>
    </w:p>
    <w:p w14:paraId="34167271" w14:textId="77777777" w:rsidR="002657DC" w:rsidRDefault="00D537AA">
      <w:pPr>
        <w:pStyle w:val="Heading2"/>
        <w:spacing w:line="240" w:lineRule="auto"/>
        <w:rPr>
          <w:b/>
          <w:bCs/>
        </w:rPr>
      </w:pPr>
      <w:r>
        <w:rPr>
          <w:b/>
          <w:bCs/>
        </w:rPr>
        <w:t>Separations (select one)</w:t>
      </w:r>
    </w:p>
    <w:p w14:paraId="5C313AFB" w14:textId="77777777" w:rsidR="002657DC" w:rsidRDefault="00D537AA">
      <w:pPr>
        <w:pStyle w:val="BodyA"/>
        <w:spacing w:after="0" w:line="240" w:lineRule="auto"/>
        <w:ind w:left="90" w:right="273"/>
        <w:jc w:val="both"/>
      </w:pPr>
      <w:r>
        <w:t>Items not retained during the initial processing or future reappraisal should be:</w:t>
      </w:r>
    </w:p>
    <w:p w14:paraId="67B09888" w14:textId="77777777" w:rsidR="002657DC" w:rsidRDefault="00D537AA">
      <w:pPr>
        <w:pStyle w:val="BodyA"/>
        <w:spacing w:after="0" w:line="240" w:lineRule="auto"/>
        <w:ind w:left="90" w:right="1023"/>
      </w:pPr>
      <w:r>
        <w:t xml:space="preserve">____Discarded </w:t>
      </w:r>
    </w:p>
    <w:p w14:paraId="7CD88214" w14:textId="77777777" w:rsidR="002657DC" w:rsidRDefault="00D537AA">
      <w:pPr>
        <w:pStyle w:val="BodyA"/>
        <w:spacing w:after="0" w:line="240" w:lineRule="auto"/>
        <w:ind w:left="90" w:right="1023"/>
      </w:pPr>
      <w:r>
        <w:t xml:space="preserve">____Returned to me or my heirs. I </w:t>
      </w:r>
      <w:r>
        <w:t>understand that, if my heirs or I am unable to be located after a reasonable search, GCMHS Special Collections and Archives may dispose of the items.</w:t>
      </w:r>
    </w:p>
    <w:p w14:paraId="19032FF4" w14:textId="77777777" w:rsidR="002657DC" w:rsidRDefault="002657DC">
      <w:pPr>
        <w:pStyle w:val="Heading2"/>
        <w:rPr>
          <w:b/>
          <w:bCs/>
        </w:rPr>
      </w:pPr>
    </w:p>
    <w:p w14:paraId="2A5372B1" w14:textId="77777777" w:rsidR="002657DC" w:rsidRDefault="00D537AA">
      <w:pPr>
        <w:pStyle w:val="Heading2"/>
        <w:rPr>
          <w:b/>
          <w:bCs/>
        </w:rPr>
      </w:pPr>
      <w:r>
        <w:rPr>
          <w:b/>
          <w:bCs/>
          <w:lang w:val="nl-NL"/>
        </w:rPr>
        <w:t>Transfer</w:t>
      </w:r>
    </w:p>
    <w:p w14:paraId="5E63BBFA" w14:textId="77777777" w:rsidR="002657DC" w:rsidRDefault="00D537AA">
      <w:pPr>
        <w:pStyle w:val="BodyA"/>
        <w:spacing w:after="0" w:line="240" w:lineRule="auto"/>
        <w:ind w:left="90" w:right="43"/>
        <w:jc w:val="both"/>
      </w:pPr>
      <w:r>
        <w:t>I hereby give legal and physical ownership of the item(s) listed to the GCMHS.  I have read and in agreement with GCMHS Special Collections and Archives' established practices as described in their Donation Policy Guidelines. This deed will apply to any additions given at later dates, unless otherwise noted. (Attach listing if more space is needed)</w:t>
      </w:r>
    </w:p>
    <w:p w14:paraId="332F5132" w14:textId="77777777" w:rsidR="002657DC" w:rsidRDefault="002657DC">
      <w:pPr>
        <w:pStyle w:val="BodyA"/>
        <w:spacing w:after="0" w:line="240" w:lineRule="auto"/>
        <w:ind w:left="90" w:right="43"/>
        <w:jc w:val="both"/>
      </w:pPr>
    </w:p>
    <w:p w14:paraId="394AA9CE" w14:textId="77777777" w:rsidR="002657DC" w:rsidRDefault="002657DC">
      <w:pPr>
        <w:pStyle w:val="BodyA"/>
        <w:pBdr>
          <w:top w:val="single" w:sz="12" w:space="0" w:color="000000"/>
          <w:bottom w:val="single" w:sz="12" w:space="0" w:color="000000"/>
        </w:pBdr>
        <w:spacing w:after="266"/>
        <w:ind w:left="90"/>
      </w:pPr>
    </w:p>
    <w:p w14:paraId="006117FC" w14:textId="77777777" w:rsidR="002657DC" w:rsidRDefault="00D537AA">
      <w:pPr>
        <w:pStyle w:val="BodyA"/>
        <w:spacing w:after="3" w:line="266" w:lineRule="auto"/>
        <w:ind w:left="90" w:right="273"/>
        <w:jc w:val="both"/>
      </w:pPr>
      <w:r>
        <w:t>Donor's signature and Date:</w:t>
      </w:r>
    </w:p>
    <w:p w14:paraId="27E1D15A" w14:textId="77777777" w:rsidR="002657DC" w:rsidRDefault="00D537AA">
      <w:pPr>
        <w:pStyle w:val="BodyA"/>
        <w:spacing w:after="369"/>
        <w:ind w:left="90"/>
      </w:pPr>
      <w:r>
        <w:t>Signature: _____________________________________________   Date__________________________</w:t>
      </w:r>
    </w:p>
    <w:p w14:paraId="1D292305" w14:textId="77777777" w:rsidR="002657DC" w:rsidRDefault="00D537AA">
      <w:pPr>
        <w:pStyle w:val="BodyA"/>
        <w:spacing w:after="0" w:line="265" w:lineRule="auto"/>
        <w:ind w:left="90" w:right="684" w:hanging="10"/>
        <w:jc w:val="both"/>
      </w:pPr>
      <w:r>
        <w:rPr>
          <w:sz w:val="24"/>
          <w:szCs w:val="24"/>
        </w:rPr>
        <w:t>Accepted into GCMHS Special Collections and Archives</w:t>
      </w:r>
      <w:r>
        <w:t xml:space="preserve">: </w:t>
      </w:r>
    </w:p>
    <w:p w14:paraId="4E3136F4" w14:textId="77777777" w:rsidR="002657DC" w:rsidRDefault="002657DC">
      <w:pPr>
        <w:pStyle w:val="BodyA"/>
        <w:spacing w:after="0" w:line="265" w:lineRule="auto"/>
        <w:ind w:left="10" w:right="684" w:hanging="10"/>
        <w:jc w:val="both"/>
      </w:pPr>
    </w:p>
    <w:p w14:paraId="51161B10" w14:textId="77777777" w:rsidR="002657DC" w:rsidRDefault="00D537AA">
      <w:pPr>
        <w:pStyle w:val="BodyA"/>
        <w:spacing w:after="0" w:line="265" w:lineRule="auto"/>
        <w:ind w:left="90" w:right="684" w:hanging="10"/>
        <w:jc w:val="both"/>
      </w:pPr>
      <w:r>
        <w:t xml:space="preserve">GCMSH </w:t>
      </w:r>
      <w:r>
        <w:t>Representative_____________________________________ Date_________________________</w:t>
      </w:r>
    </w:p>
    <w:sectPr w:rsidR="002657DC">
      <w:headerReference w:type="default" r:id="rId7"/>
      <w:footerReference w:type="default" r:id="rId8"/>
      <w:pgSz w:w="12240" w:h="15840"/>
      <w:pgMar w:top="1078" w:right="1160" w:bottom="1361" w:left="9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68F6" w14:textId="77777777" w:rsidR="00D537AA" w:rsidRDefault="00D537AA">
      <w:r>
        <w:separator/>
      </w:r>
    </w:p>
  </w:endnote>
  <w:endnote w:type="continuationSeparator" w:id="0">
    <w:p w14:paraId="6F529B43" w14:textId="77777777" w:rsidR="00D537AA" w:rsidRDefault="00D5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3F9B" w14:textId="77777777" w:rsidR="002657DC" w:rsidRDefault="002657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05B00" w14:textId="77777777" w:rsidR="00D537AA" w:rsidRDefault="00D537AA">
      <w:r>
        <w:separator/>
      </w:r>
    </w:p>
  </w:footnote>
  <w:footnote w:type="continuationSeparator" w:id="0">
    <w:p w14:paraId="26ACC7C8" w14:textId="77777777" w:rsidR="00D537AA" w:rsidRDefault="00D5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4E1F" w14:textId="77777777" w:rsidR="002657DC" w:rsidRDefault="002657D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DC"/>
    <w:rsid w:val="002657DC"/>
    <w:rsid w:val="007F1B67"/>
    <w:rsid w:val="00D5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652D"/>
  <w15:docId w15:val="{318FFFDC-A32F-4967-9CE6-767A8177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keepLines/>
      <w:spacing w:line="259" w:lineRule="auto"/>
      <w:ind w:left="46" w:hanging="10"/>
      <w:outlineLvl w:val="1"/>
    </w:pPr>
    <w:rPr>
      <w:rFonts w:ascii="Calibri" w:eastAsia="Calibri" w:hAnsi="Calibri" w:cs="Calibri"/>
      <w:color w:val="000000"/>
      <w:kern w:val="2"/>
      <w:sz w:val="30"/>
      <w:szCs w:val="30"/>
      <w:u w:color="000000"/>
    </w:rPr>
  </w:style>
  <w:style w:type="paragraph" w:styleId="Heading3">
    <w:name w:val="heading 3"/>
    <w:next w:val="BodyA"/>
    <w:uiPriority w:val="9"/>
    <w:unhideWhenUsed/>
    <w:qFormat/>
    <w:pPr>
      <w:keepNext/>
      <w:keepLines/>
      <w:spacing w:before="40" w:line="259" w:lineRule="auto"/>
      <w:outlineLvl w:val="2"/>
    </w:pPr>
    <w:rPr>
      <w:rFonts w:ascii="Aptos Display" w:eastAsia="Aptos Display" w:hAnsi="Aptos Display" w:cs="Aptos Display"/>
      <w:color w:val="0A2F40"/>
      <w:kern w:val="2"/>
      <w:sz w:val="24"/>
      <w:szCs w:val="24"/>
      <w:u w:color="0A2F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A"/>
    <w:pPr>
      <w:keepNext/>
      <w:keepLines/>
      <w:spacing w:after="5" w:line="252" w:lineRule="auto"/>
      <w:ind w:left="406" w:right="5576" w:hanging="3"/>
      <w:outlineLvl w:val="0"/>
    </w:pPr>
    <w:rPr>
      <w:rFonts w:ascii="Calibri" w:eastAsia="Calibri" w:hAnsi="Calibri" w:cs="Calibri"/>
      <w:color w:val="000000"/>
      <w:kern w:val="2"/>
      <w:sz w:val="32"/>
      <w:szCs w:val="32"/>
      <w:u w:color="000000"/>
    </w:rPr>
  </w:style>
  <w:style w:type="paragraph" w:customStyle="1" w:styleId="BodyA">
    <w:name w:val="Body A"/>
    <w:pPr>
      <w:spacing w:after="160" w:line="259" w:lineRule="auto"/>
    </w:pPr>
    <w:rPr>
      <w:rFonts w:ascii="Calibri" w:eastAsia="Calibri" w:hAnsi="Calibri" w:cs="Calibri"/>
      <w:color w:val="000000"/>
      <w:kern w:val="2"/>
      <w:sz w:val="22"/>
      <w:szCs w:val="22"/>
      <w:u w:color="000000"/>
    </w:rPr>
  </w:style>
  <w:style w:type="paragraph" w:styleId="Revision">
    <w:name w:val="Revision"/>
    <w:hidden/>
    <w:uiPriority w:val="99"/>
    <w:semiHidden/>
    <w:rsid w:val="00D537A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3183</Characters>
  <Application>Microsoft Office Word</Application>
  <DocSecurity>4</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Wyatt</dc:creator>
  <cp:lastModifiedBy>Kathleen Wyatt</cp:lastModifiedBy>
  <cp:revision>2</cp:revision>
  <dcterms:created xsi:type="dcterms:W3CDTF">2024-07-03T16:58:00Z</dcterms:created>
  <dcterms:modified xsi:type="dcterms:W3CDTF">2024-07-03T16:58:00Z</dcterms:modified>
</cp:coreProperties>
</file>